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7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25, 2018</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6400"/>
        <w:spacing w:after="0"/>
        <w:tabs>
          <w:tab w:leader="none" w:pos="70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4498975</wp:posOffset>
            </wp:positionH>
            <wp:positionV relativeFrom="paragraph">
              <wp:posOffset>14605</wp:posOffset>
            </wp:positionV>
            <wp:extent cx="275272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752725" cy="8890"/>
                    </a:xfrm>
                    <a:prstGeom prst="rect">
                      <a:avLst/>
                    </a:prstGeom>
                    <a:noFill/>
                  </pic:spPr>
                </pic:pic>
              </a:graphicData>
            </a:graphic>
          </wp:anchor>
        </w:drawing>
      </w:r>
    </w:p>
    <w:p>
      <w:pPr>
        <w:spacing w:after="0" w:line="219" w:lineRule="exact"/>
        <w:rPr>
          <w:sz w:val="20"/>
          <w:szCs w:val="20"/>
          <w:color w:val="auto"/>
        </w:rPr>
      </w:pPr>
    </w:p>
    <w:p>
      <w:pPr>
        <w:ind w:left="6400"/>
        <w:spacing w:after="0"/>
        <w:tabs>
          <w:tab w:leader="none" w:pos="7060" w:val="left"/>
        </w:tabs>
        <w:rPr>
          <w:sz w:val="20"/>
          <w:szCs w:val="20"/>
          <w:color w:val="auto"/>
        </w:rPr>
      </w:pPr>
      <w:r>
        <w:rPr>
          <w:rFonts w:ascii="Arial" w:cs="Arial" w:eastAsia="Arial" w:hAnsi="Arial"/>
          <w:sz w:val="18"/>
          <w:szCs w:val="18"/>
          <w:color w:val="auto"/>
        </w:rPr>
        <w:t>Name:</w:t>
        <w:tab/>
        <w:t>Ana Graciela de Méndez</w:t>
      </w:r>
    </w:p>
    <w:p>
      <w:pPr>
        <w:spacing w:after="0" w:line="23" w:lineRule="exact"/>
        <w:rPr>
          <w:sz w:val="20"/>
          <w:szCs w:val="20"/>
          <w:color w:val="auto"/>
        </w:rPr>
      </w:pPr>
    </w:p>
    <w:p>
      <w:pPr>
        <w:ind w:left="6400"/>
        <w:spacing w:after="0"/>
        <w:tabs>
          <w:tab w:leader="none" w:pos="706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8"/>
          <w:szCs w:val="18"/>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10547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BLADEX REPORTED A $40.7 MILLION LOSS FOR 3Q18, OR -$1.03 PER SHARE, DUE TO HIGHER ALLOCATED CREDIT RESERVES FOR ITS NPL EXPOSURE; ROBUST TIER 1 CAPITALIZATION AT 17.8%</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25, 2018</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(“3Q18”) and nine months (“9M18”) ended September 30, 2018.</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6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5060" w:type="dxa"/>
            <w:vAlign w:val="bottom"/>
          </w:tcPr>
          <w:p>
            <w:pPr>
              <w:spacing w:after="0"/>
              <w:rPr>
                <w:sz w:val="20"/>
                <w:szCs w:val="20"/>
                <w:color w:val="auto"/>
              </w:rPr>
            </w:pPr>
            <w:r>
              <w:rPr>
                <w:rFonts w:ascii="Arial" w:cs="Arial" w:eastAsia="Arial" w:hAnsi="Arial"/>
                <w:sz w:val="18"/>
                <w:szCs w:val="18"/>
                <w:color w:val="auto"/>
              </w:rPr>
              <w:t>(US$ million, except percentages and</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gridSpan w:val="2"/>
            <w:vMerge w:val="restart"/>
          </w:tcPr>
          <w:p>
            <w:pPr>
              <w:jc w:val="right"/>
              <w:ind w:right="560"/>
              <w:spacing w:after="0"/>
              <w:rPr>
                <w:sz w:val="20"/>
                <w:szCs w:val="20"/>
                <w:color w:val="auto"/>
              </w:rPr>
            </w:pPr>
            <w:r>
              <w:rPr>
                <w:rFonts w:ascii="Arial" w:cs="Arial" w:eastAsia="Arial" w:hAnsi="Arial"/>
                <w:sz w:val="18"/>
                <w:szCs w:val="18"/>
                <w:b w:val="1"/>
                <w:bCs w:val="1"/>
                <w:color w:val="auto"/>
              </w:rPr>
              <w:t>9M18</w:t>
            </w:r>
          </w:p>
        </w:tc>
        <w:tc>
          <w:tcPr>
            <w:tcW w:w="180" w:type="dxa"/>
            <w:vAlign w:val="bottom"/>
          </w:tcPr>
          <w:p>
            <w:pPr>
              <w:spacing w:after="0"/>
              <w:rPr>
                <w:sz w:val="24"/>
                <w:szCs w:val="24"/>
                <w:color w:val="auto"/>
              </w:rPr>
            </w:pPr>
          </w:p>
        </w:tc>
        <w:tc>
          <w:tcPr>
            <w:tcW w:w="102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9M17</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gridSpan w:val="2"/>
            <w:vMerge w:val="restart"/>
          </w:tcPr>
          <w:p>
            <w:pPr>
              <w:jc w:val="right"/>
              <w:ind w:right="560"/>
              <w:spacing w:after="0"/>
              <w:rPr>
                <w:sz w:val="20"/>
                <w:szCs w:val="20"/>
                <w:color w:val="auto"/>
              </w:rPr>
            </w:pPr>
            <w:r>
              <w:rPr>
                <w:rFonts w:ascii="Arial" w:cs="Arial" w:eastAsia="Arial" w:hAnsi="Arial"/>
                <w:sz w:val="18"/>
                <w:szCs w:val="18"/>
                <w:b w:val="1"/>
                <w:bCs w:val="1"/>
                <w:color w:val="auto"/>
              </w:rPr>
              <w:t>3Q18</w:t>
            </w:r>
          </w:p>
        </w:tc>
        <w:tc>
          <w:tcPr>
            <w:tcW w:w="180" w:type="dxa"/>
            <w:vAlign w:val="bottom"/>
          </w:tcPr>
          <w:p>
            <w:pPr>
              <w:spacing w:after="0"/>
              <w:rPr>
                <w:sz w:val="24"/>
                <w:szCs w:val="24"/>
                <w:color w:val="auto"/>
              </w:rPr>
            </w:pPr>
          </w:p>
        </w:tc>
        <w:tc>
          <w:tcPr>
            <w:tcW w:w="1020" w:type="dxa"/>
            <w:vAlign w:val="bottom"/>
            <w:gridSpan w:val="2"/>
            <w:vMerge w:val="restart"/>
          </w:tcPr>
          <w:p>
            <w:pPr>
              <w:jc w:val="right"/>
              <w:ind w:right="500"/>
              <w:spacing w:after="0"/>
              <w:rPr>
                <w:sz w:val="20"/>
                <w:szCs w:val="20"/>
                <w:color w:val="auto"/>
              </w:rPr>
            </w:pPr>
            <w:r>
              <w:rPr>
                <w:rFonts w:ascii="Arial" w:cs="Arial" w:eastAsia="Arial" w:hAnsi="Arial"/>
                <w:sz w:val="18"/>
                <w:szCs w:val="18"/>
                <w:b w:val="1"/>
                <w:bCs w:val="1"/>
                <w:color w:val="auto"/>
              </w:rPr>
              <w:t>2Q18</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gridSpan w:val="2"/>
            <w:vMerge w:val="restart"/>
          </w:tcPr>
          <w:p>
            <w:pPr>
              <w:jc w:val="right"/>
              <w:ind w:right="460"/>
              <w:spacing w:after="0"/>
              <w:rPr>
                <w:sz w:val="20"/>
                <w:szCs w:val="20"/>
                <w:color w:val="auto"/>
              </w:rPr>
            </w:pPr>
            <w:r>
              <w:rPr>
                <w:rFonts w:ascii="Arial" w:cs="Arial" w:eastAsia="Arial" w:hAnsi="Arial"/>
                <w:sz w:val="18"/>
                <w:szCs w:val="18"/>
                <w:b w:val="1"/>
                <w:bCs w:val="1"/>
                <w:color w:val="auto"/>
              </w:rPr>
              <w:t>3Q17</w:t>
            </w:r>
          </w:p>
        </w:tc>
        <w:tc>
          <w:tcPr>
            <w:tcW w:w="0" w:type="dxa"/>
            <w:vAlign w:val="bottom"/>
          </w:tcPr>
          <w:p>
            <w:pPr>
              <w:spacing w:after="0"/>
              <w:rPr>
                <w:sz w:val="1"/>
                <w:szCs w:val="1"/>
                <w:color w:val="auto"/>
              </w:rPr>
            </w:pPr>
          </w:p>
        </w:tc>
      </w:tr>
      <w:tr>
        <w:trPr>
          <w:trHeight w:val="230"/>
        </w:trPr>
        <w:tc>
          <w:tcPr>
            <w:tcW w:w="5060" w:type="dxa"/>
            <w:vAlign w:val="bottom"/>
          </w:tcPr>
          <w:p>
            <w:pPr>
              <w:spacing w:after="0"/>
              <w:rPr>
                <w:sz w:val="20"/>
                <w:szCs w:val="20"/>
                <w:color w:val="auto"/>
              </w:rPr>
            </w:pPr>
            <w:r>
              <w:rPr>
                <w:rFonts w:ascii="Arial" w:cs="Arial" w:eastAsia="Arial" w:hAnsi="Arial"/>
                <w:sz w:val="18"/>
                <w:szCs w:val="18"/>
                <w:color w:val="auto"/>
              </w:rPr>
              <w:t>per share amounts)</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81.8</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91.7</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27.3</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27.9</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27.9</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11.8</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w:t>
            </w:r>
          </w:p>
        </w:tc>
        <w:tc>
          <w:tcPr>
            <w:tcW w:w="0" w:type="dxa"/>
            <w:vAlign w:val="bottom"/>
          </w:tcPr>
          <w:p>
            <w:pPr>
              <w:spacing w:after="0"/>
              <w:rPr>
                <w:sz w:val="1"/>
                <w:szCs w:val="1"/>
                <w:color w:val="auto"/>
              </w:rPr>
            </w:pPr>
          </w:p>
        </w:tc>
      </w:tr>
      <w:tr>
        <w:trPr>
          <w:trHeight w:val="202"/>
        </w:trPr>
        <w:tc>
          <w:tcPr>
            <w:tcW w:w="5060" w:type="dxa"/>
            <w:vAlign w:val="bottom"/>
          </w:tcPr>
          <w:p>
            <w:pPr>
              <w:spacing w:after="0" w:line="201" w:lineRule="exact"/>
              <w:rPr>
                <w:sz w:val="20"/>
                <w:szCs w:val="20"/>
                <w:color w:val="auto"/>
              </w:rPr>
            </w:pPr>
            <w:r>
              <w:rPr>
                <w:rFonts w:ascii="Arial" w:cs="Arial" w:eastAsia="Arial" w:hAnsi="Arial"/>
                <w:sz w:val="18"/>
                <w:szCs w:val="18"/>
                <w:color w:val="auto"/>
                <w:w w:val="92"/>
              </w:rPr>
              <w:t>Impairment loss from ECL on loans, loan commitments and financial</w:t>
            </w: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60" w:type="dxa"/>
            <w:vAlign w:val="bottom"/>
          </w:tcPr>
          <w:p>
            <w:pPr>
              <w:spacing w:after="0"/>
              <w:rPr>
                <w:sz w:val="20"/>
                <w:szCs w:val="20"/>
                <w:color w:val="auto"/>
              </w:rPr>
            </w:pPr>
            <w:r>
              <w:rPr>
                <w:rFonts w:ascii="Arial" w:cs="Arial" w:eastAsia="Arial" w:hAnsi="Arial"/>
                <w:sz w:val="18"/>
                <w:szCs w:val="18"/>
                <w:color w:val="auto"/>
              </w:rPr>
              <w:t>guarantees contracts</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58.9</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55.1</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1.8</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0.6</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(1)</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36.5</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33.8</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10.9</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(Loss) Profit for the period</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(9.6)</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61.4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(40.7)</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16.6</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20.5</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(2)</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(0.24)</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1.56</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(1.03)</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0.42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0.52</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-15.5%</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6.4%</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7.9%</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-0.20%</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1.26%</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-2.58%</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1.07%</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1.30%</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(4)</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1.87%</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(5)</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1.51%</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1.20%</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1.37%</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(6)</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39.7%</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32.5%</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36.5%</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32.0%</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6,305</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5,706</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6,305</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6,054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5,706</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Treasury Portfolio</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93</w:t>
            </w:r>
          </w:p>
        </w:tc>
        <w:tc>
          <w:tcPr>
            <w:tcW w:w="280" w:type="dxa"/>
            <w:vAlign w:val="bottom"/>
          </w:tcPr>
          <w:p>
            <w:pPr>
              <w:spacing w:after="0"/>
              <w:rPr>
                <w:sz w:val="18"/>
                <w:szCs w:val="18"/>
                <w:color w:val="auto"/>
              </w:rPr>
            </w:pP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88</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93</w:t>
            </w:r>
          </w:p>
        </w:tc>
        <w:tc>
          <w:tcPr>
            <w:tcW w:w="280" w:type="dxa"/>
            <w:vAlign w:val="bottom"/>
          </w:tcPr>
          <w:p>
            <w:pPr>
              <w:spacing w:after="0"/>
              <w:rPr>
                <w:sz w:val="18"/>
                <w:szCs w:val="18"/>
                <w:color w:val="auto"/>
              </w:rPr>
            </w:pP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88</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6,561</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6,200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6,561</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6,331</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6,200</w:t>
            </w:r>
          </w:p>
        </w:tc>
        <w:tc>
          <w:tcPr>
            <w:tcW w:w="0" w:type="dxa"/>
            <w:vAlign w:val="bottom"/>
          </w:tcPr>
          <w:p>
            <w:pPr>
              <w:spacing w:after="0"/>
              <w:rPr>
                <w:sz w:val="1"/>
                <w:szCs w:val="1"/>
                <w:color w:val="auto"/>
              </w:rPr>
            </w:pPr>
          </w:p>
        </w:tc>
      </w:tr>
      <w:tr>
        <w:trPr>
          <w:trHeight w:val="216"/>
        </w:trPr>
        <w:tc>
          <w:tcPr>
            <w:tcW w:w="5060" w:type="dxa"/>
            <w:vAlign w:val="bottom"/>
          </w:tcPr>
          <w:p>
            <w:pPr>
              <w:spacing w:after="0"/>
              <w:rPr>
                <w:sz w:val="20"/>
                <w:szCs w:val="20"/>
                <w:color w:val="auto"/>
              </w:rPr>
            </w:pPr>
            <w:r>
              <w:rPr>
                <w:rFonts w:ascii="Arial" w:cs="Arial" w:eastAsia="Arial" w:hAnsi="Arial"/>
                <w:sz w:val="18"/>
                <w:szCs w:val="18"/>
                <w:color w:val="auto"/>
              </w:rPr>
              <w:t>Total stockholders' equity</w:t>
            </w:r>
          </w:p>
        </w:tc>
        <w:tc>
          <w:tcPr>
            <w:tcW w:w="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989</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1,032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989</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1,047</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1,032</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827</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1,159</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827</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975</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1,159</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17.8%</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17.8%</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20.0%</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20.3%</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10.3%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12.2%</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NPL to Loan Portfolio </w:t>
            </w:r>
            <w:r>
              <w:rPr>
                <w:rFonts w:ascii="Arial" w:cs="Arial" w:eastAsia="Arial" w:hAnsi="Arial"/>
                <w:sz w:val="29"/>
                <w:szCs w:val="29"/>
                <w:color w:val="auto"/>
                <w:vertAlign w:val="superscript"/>
              </w:rPr>
              <w:t>(11)</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2.08%</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2.08%</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0.98%</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w:t>
            </w:r>
          </w:p>
        </w:tc>
        <w:tc>
          <w:tcPr>
            <w:tcW w:w="0" w:type="dxa"/>
            <w:vAlign w:val="bottom"/>
          </w:tcPr>
          <w:p>
            <w:pPr>
              <w:spacing w:after="0"/>
              <w:rPr>
                <w:sz w:val="1"/>
                <w:szCs w:val="1"/>
                <w:color w:val="auto"/>
              </w:rPr>
            </w:pPr>
          </w:p>
        </w:tc>
      </w:tr>
      <w:tr>
        <w:trPr>
          <w:trHeight w:val="257"/>
        </w:trPr>
        <w:tc>
          <w:tcPr>
            <w:tcW w:w="5060" w:type="dxa"/>
            <w:vAlign w:val="bottom"/>
          </w:tcPr>
          <w:p>
            <w:pPr>
              <w:spacing w:after="0" w:line="256" w:lineRule="exact"/>
              <w:rPr>
                <w:sz w:val="20"/>
                <w:szCs w:val="20"/>
                <w:color w:val="auto"/>
              </w:rPr>
            </w:pPr>
            <w:r>
              <w:rPr>
                <w:rFonts w:ascii="Arial" w:cs="Arial" w:eastAsia="Arial" w:hAnsi="Arial"/>
                <w:sz w:val="18"/>
                <w:szCs w:val="18"/>
                <w:color w:val="auto"/>
              </w:rPr>
              <w:t xml:space="preserve">Total allowance for ECL </w:t>
            </w:r>
            <w:r>
              <w:rPr>
                <w:rFonts w:ascii="Arial" w:cs="Arial" w:eastAsia="Arial" w:hAnsi="Arial"/>
                <w:sz w:val="29"/>
                <w:szCs w:val="29"/>
                <w:color w:val="auto"/>
                <w:vertAlign w:val="superscript"/>
              </w:rPr>
              <w:t>(12)</w:t>
            </w:r>
            <w:r>
              <w:rPr>
                <w:rFonts w:ascii="Arial" w:cs="Arial" w:eastAsia="Arial" w:hAnsi="Arial"/>
                <w:sz w:val="18"/>
                <w:szCs w:val="18"/>
                <w:color w:val="auto"/>
              </w:rPr>
              <w:t xml:space="preserve"> to Commercial Portfolio</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2.26%</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2.04%</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2.26%</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2.04%</w:t>
            </w:r>
          </w:p>
        </w:tc>
        <w:tc>
          <w:tcPr>
            <w:tcW w:w="0" w:type="dxa"/>
            <w:vAlign w:val="bottom"/>
          </w:tcPr>
          <w:p>
            <w:pPr>
              <w:spacing w:after="0"/>
              <w:rPr>
                <w:sz w:val="1"/>
                <w:szCs w:val="1"/>
                <w:color w:val="auto"/>
              </w:rPr>
            </w:pPr>
          </w:p>
        </w:tc>
      </w:tr>
      <w:tr>
        <w:trPr>
          <w:trHeight w:val="257"/>
        </w:trPr>
        <w:tc>
          <w:tcPr>
            <w:tcW w:w="50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Total allowance for ECL </w:t>
            </w:r>
            <w:r>
              <w:rPr>
                <w:rFonts w:ascii="Arial" w:cs="Arial" w:eastAsia="Arial" w:hAnsi="Arial"/>
                <w:sz w:val="29"/>
                <w:szCs w:val="29"/>
                <w:color w:val="auto"/>
                <w:vertAlign w:val="superscript"/>
              </w:rPr>
              <w:t>(12)</w:t>
            </w:r>
            <w:r>
              <w:rPr>
                <w:rFonts w:ascii="Arial" w:cs="Arial" w:eastAsia="Arial" w:hAnsi="Arial"/>
                <w:sz w:val="18"/>
                <w:szCs w:val="18"/>
                <w:color w:val="auto"/>
              </w:rPr>
              <w:t xml:space="preserve"> to NPL (times)</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3Q18 &amp; 9M18 Highlights</w:t>
      </w:r>
    </w:p>
    <w:p>
      <w:pPr>
        <w:spacing w:after="0" w:line="229" w:lineRule="exact"/>
        <w:rPr>
          <w:sz w:val="20"/>
          <w:szCs w:val="20"/>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 reported a loss for the 3Q18 of $40.7 million, resulting in a loss of $9.6 million for 9M18, mainly due to higher allocated credit provision from expected credit losses (“ECL”) on non-performing loans (“NPL”).</w:t>
      </w:r>
    </w:p>
    <w:p>
      <w:pPr>
        <w:spacing w:after="0" w:line="170" w:lineRule="exact"/>
        <w:rPr>
          <w:rFonts w:ascii="Arial" w:cs="Arial" w:eastAsia="Arial" w:hAnsi="Arial"/>
          <w:sz w:val="18"/>
          <w:szCs w:val="18"/>
          <w:color w:val="auto"/>
        </w:rPr>
      </w:pPr>
    </w:p>
    <w:p>
      <w:pPr>
        <w:ind w:left="340" w:hanging="332"/>
        <w:spacing w:after="0" w:line="342" w:lineRule="auto"/>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NPL balance increased to $119.0 million, or 2.08% of total Loan Portfolio at the end of 3Q18. This compares to $54.3 million, or 0.98%, at the end of 2Q18 and $64.1 million, or 1.20%, at the end of 3Q17. The increase was mainly driven by the deterioration of one credit in the sugar industry in Brazil.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379095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10547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054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4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Total credit provision charges for ECL in the 3Q18 were $55.1 million which brought allowance for ECL to Commercial Portfolio to 2.26%, compared to 1.44% in 2Q18 and 2.04% last year. Total allowance for ECL covers 1.2 times NPL balances as of the end of 3Q18.</w:t>
      </w:r>
    </w:p>
    <w:p>
      <w:pPr>
        <w:spacing w:after="0" w:line="170"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3Q18 end-of-period Commercial Portfolio balances increased to $6.3 billion (+4% QoQ; +10% YoY), which drove average balances up to $6.0 billion in 3Q18 (+3% QoQ; +6% YoY) and 9M18 (+2% YoY). The Bank increased exposure to Financial Institutions (“FIs”) to 52% of total Commercial Portfolio from 50% in the 2Q18 and 44% a year ago.</w:t>
      </w:r>
    </w:p>
    <w:p>
      <w:pPr>
        <w:spacing w:after="0" w:line="181" w:lineRule="exact"/>
        <w:rPr>
          <w:rFonts w:ascii="Arial" w:cs="Arial" w:eastAsia="Arial" w:hAnsi="Arial"/>
          <w:sz w:val="18"/>
          <w:szCs w:val="18"/>
          <w:color w:val="auto"/>
        </w:rPr>
      </w:pPr>
    </w:p>
    <w:p>
      <w:pPr>
        <w:ind w:left="340" w:hanging="332"/>
        <w:spacing w:after="0" w:line="342" w:lineRule="auto"/>
        <w:tabs>
          <w:tab w:leader="none" w:pos="340" w:val="left"/>
        </w:tabs>
        <w:numPr>
          <w:ilvl w:val="0"/>
          <w:numId w:val="2"/>
        </w:numPr>
        <w:rPr>
          <w:rFonts w:ascii="Arial" w:cs="Arial" w:eastAsia="Arial" w:hAnsi="Arial"/>
          <w:sz w:val="16"/>
          <w:szCs w:val="16"/>
          <w:color w:val="auto"/>
        </w:rPr>
      </w:pPr>
      <w:r>
        <w:rPr>
          <w:rFonts w:ascii="Arial" w:cs="Arial" w:eastAsia="Arial" w:hAnsi="Arial"/>
          <w:sz w:val="16"/>
          <w:szCs w:val="16"/>
          <w:color w:val="auto"/>
        </w:rPr>
        <w:t>Net Interest Income (“NII”) for the 3Q18 decreased 2% QoQ to $27.3 million, on lower Net Interest Margin (“NIM”) of 1.74% (-7 bps QoQ), mainly due to the reversal of accrued interest on NPL reclassification. NII for the 9M18 was $81.8 million, a decrease of 11% YoY on lower NIM (-13 bps YoY).</w:t>
      </w:r>
    </w:p>
    <w:p>
      <w:pPr>
        <w:spacing w:after="0" w:line="123" w:lineRule="exact"/>
        <w:rPr>
          <w:rFonts w:ascii="Arial" w:cs="Arial" w:eastAsia="Arial" w:hAnsi="Arial"/>
          <w:sz w:val="16"/>
          <w:szCs w:val="16"/>
          <w:color w:val="auto"/>
        </w:rPr>
      </w:pPr>
    </w:p>
    <w:p>
      <w:pPr>
        <w:ind w:left="34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 and commissions income totaled $3.7 million in 3Q18 (-27% QoQ; +4% YoY) and $11.8 million in 9M18 (flat YoY), as improved commissions from letters of credit offset lower loan structuring fees, reflecting the uneven nature of the business.</w:t>
      </w:r>
    </w:p>
    <w:p>
      <w:pPr>
        <w:spacing w:after="0" w:line="170"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Efficiency Ratio stood at 36.5% in 3Q18 and 39.7% in 9M18. The Bank’s run-rate of quarterly expense base has decreased to $9.8 million in 3Q18, excluding charges related to severance and other one-time expenses. Excluding these items, the adjusted level of Efficiency Ratio stands at 33.2% for 3Q18.</w:t>
      </w:r>
    </w:p>
    <w:p>
      <w:pPr>
        <w:spacing w:after="0" w:line="181"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In the effort to continue a comprehensive revision of operating and technology processes and infrastructure, the Bank disposed of obsolete software for a total of $4.1 million in 3Q18, presented within the line items “Impairment loss in other assets” and “Loss on derecognition of intangible assets” of the consolidated statements of profit or loss.</w:t>
      </w:r>
    </w:p>
    <w:p>
      <w:pPr>
        <w:spacing w:after="0" w:line="181" w:lineRule="exact"/>
        <w:rPr>
          <w:rFonts w:ascii="Arial" w:cs="Arial" w:eastAsia="Arial" w:hAnsi="Arial"/>
          <w:sz w:val="18"/>
          <w:szCs w:val="18"/>
          <w:color w:val="auto"/>
        </w:rPr>
      </w:pPr>
    </w:p>
    <w:p>
      <w:pPr>
        <w:ind w:left="340" w:hanging="332"/>
        <w:spacing w:after="0" w:line="308" w:lineRule="auto"/>
        <w:tabs>
          <w:tab w:leader="none" w:pos="340" w:val="left"/>
        </w:tabs>
        <w:numPr>
          <w:ilvl w:val="0"/>
          <w:numId w:val="2"/>
        </w:numPr>
        <w:rPr>
          <w:rFonts w:ascii="Arial" w:cs="Arial" w:eastAsia="Arial" w:hAnsi="Arial"/>
          <w:sz w:val="17"/>
          <w:szCs w:val="17"/>
          <w:color w:val="auto"/>
        </w:rPr>
      </w:pPr>
      <w:r>
        <w:rPr>
          <w:rFonts w:ascii="Arial" w:cs="Arial" w:eastAsia="Arial" w:hAnsi="Arial"/>
          <w:sz w:val="17"/>
          <w:szCs w:val="17"/>
          <w:color w:val="auto"/>
        </w:rPr>
        <w:t>The Bank’s Tier 1 Basel III Capital Ratio was 17.8% at the end of 3Q18, as compared to 20.0% a quarter ago and 20.3% a year ago, on higher level of risk-weighted assets (“RWA”) resulting from Commercial Portfolio growth, coupled with lower equity levels on the quarterly loss.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Mr. N. Gabriel Tolchinsky, Bladex’s Chief Executive Officer, said, “</w:t>
      </w:r>
      <w:r>
        <w:rPr>
          <w:rFonts w:ascii="Arial" w:cs="Arial" w:eastAsia="Arial" w:hAnsi="Arial"/>
          <w:sz w:val="18"/>
          <w:szCs w:val="18"/>
          <w:i w:val="1"/>
          <w:iCs w:val="1"/>
          <w:color w:val="auto"/>
        </w:rPr>
        <w:t>During our last quarter conference call, we identified key events that were impacting</w:t>
      </w:r>
      <w:r>
        <w:rPr>
          <w:rFonts w:ascii="Arial" w:cs="Arial" w:eastAsia="Arial" w:hAnsi="Arial"/>
          <w:sz w:val="18"/>
          <w:szCs w:val="18"/>
          <w:color w:val="auto"/>
        </w:rPr>
        <w:t xml:space="preserve"> </w:t>
      </w:r>
      <w:r>
        <w:rPr>
          <w:rFonts w:ascii="Arial" w:cs="Arial" w:eastAsia="Arial" w:hAnsi="Arial"/>
          <w:sz w:val="18"/>
          <w:szCs w:val="18"/>
          <w:i w:val="1"/>
          <w:iCs w:val="1"/>
          <w:color w:val="auto"/>
        </w:rPr>
        <w:t>emerging markets, Latin America and commodity-related industries, such as sugar. First was the effect of higher US interest rates and a stronger US dollar – often a negative backdrop for emerging markets’ assets. Second was the protectionist rhetoric from the US regarding world trade, along with the negative impact of tariffs. Third was the political and macroeconomic uncertainty and overall lower growth prospects, or outright recession, for some key countries in Latin America.</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These trends came to a head in the third quarter.</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i w:val="1"/>
          <w:iCs w:val="1"/>
          <w:color w:val="auto"/>
        </w:rPr>
        <w:t>Specifically, a further deterioration in sugar fundamentals during the quarter, with prices trading significantly below the marginal cost of production, became too much for many Brazilian producers to bear. This included one of our credits and impacted our financial results for the quarter.</w:t>
      </w:r>
    </w:p>
    <w:p>
      <w:pPr>
        <w:spacing w:after="0" w:line="147"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i w:val="1"/>
          <w:iCs w:val="1"/>
          <w:color w:val="auto"/>
        </w:rPr>
        <w:t>Looking forward, we want to highlight the credit strengths of our current portfolio. That strength enhances our capacity to withstand what we expect will continue to be a challenging environment. Bladex’s expertise, through solid credit underwriting, complements our ability to capitalize on opportunities – particularly in these more volatile times.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i w:val="1"/>
          <w:iCs w:val="1"/>
          <w:color w:val="auto"/>
        </w:rPr>
        <w:t>Bladex continues to improve its origination, with a better mix of medium-term to short-term loans, thereby lengthening the average life of our portfolio and increasing our origination margins. We believe our current portfolio, cost base and allowances for expected credit losses, improve our earnings generation capacity.</w:t>
      </w:r>
      <w:r>
        <w:rPr>
          <w:rFonts w:ascii="Arial" w:cs="Arial" w:eastAsia="Arial" w:hAnsi="Arial"/>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415925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10807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0807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right="20" w:hanging="328"/>
        <w:spacing w:after="0" w:line="313" w:lineRule="auto"/>
        <w:tabs>
          <w:tab w:leader="none" w:pos="660" w:val="left"/>
        </w:tabs>
        <w:numPr>
          <w:ilvl w:val="0"/>
          <w:numId w:val="3"/>
        </w:numPr>
        <w:rPr>
          <w:rFonts w:ascii="Arial" w:cs="Arial" w:eastAsia="Arial" w:hAnsi="Arial"/>
          <w:sz w:val="17"/>
          <w:szCs w:val="17"/>
          <w:color w:val="auto"/>
        </w:rPr>
      </w:pPr>
      <w:r>
        <w:rPr>
          <w:rFonts w:ascii="Arial" w:cs="Arial" w:eastAsia="Arial" w:hAnsi="Arial"/>
          <w:sz w:val="17"/>
          <w:szCs w:val="17"/>
          <w:b w:val="1"/>
          <w:bCs w:val="1"/>
          <w:color w:val="auto"/>
        </w:rPr>
        <w:t xml:space="preserve">Quarterly dividend payment: </w:t>
      </w:r>
      <w:r>
        <w:rPr>
          <w:rFonts w:ascii="Arial" w:cs="Arial" w:eastAsia="Arial" w:hAnsi="Arial"/>
          <w:sz w:val="17"/>
          <w:szCs w:val="17"/>
          <w:color w:val="auto"/>
        </w:rPr>
        <w:t>The Bank’s Board of Directors approved a quarterly common dividend of $0.385 per share corresponding to the third</w:t>
      </w:r>
      <w:r>
        <w:rPr>
          <w:rFonts w:ascii="Arial" w:cs="Arial" w:eastAsia="Arial" w:hAnsi="Arial"/>
          <w:sz w:val="17"/>
          <w:szCs w:val="17"/>
          <w:b w:val="1"/>
          <w:bCs w:val="1"/>
          <w:color w:val="auto"/>
        </w:rPr>
        <w:t xml:space="preserve"> </w:t>
      </w:r>
      <w:r>
        <w:rPr>
          <w:rFonts w:ascii="Arial" w:cs="Arial" w:eastAsia="Arial" w:hAnsi="Arial"/>
          <w:sz w:val="17"/>
          <w:szCs w:val="17"/>
          <w:color w:val="auto"/>
        </w:rPr>
        <w:t>quarter 2018. The dividend will be paid on November 20, 2018, to stockholders registered as of November 6, 2018.</w:t>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and other expenses.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w:t>
      </w:r>
    </w:p>
    <w:p>
      <w:pPr>
        <w:spacing w:after="0" w:line="225"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Loan Portfolio refers to loans, gross of the allowance for expected credit losses and unearned interest and deferred fess.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Total allowance for ECL refers to allowance for expected credit losses on loans plus allowance for expected credit losses on loan commitments and financial guarantee contracts.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10807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0807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250430" cy="215646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50430" cy="2156460"/>
                    </a:xfrm>
                    <a:prstGeom prst="rect">
                      <a:avLst/>
                    </a:prstGeom>
                    <a:noFill/>
                  </pic:spPr>
                </pic:pic>
              </a:graphicData>
            </a:graphic>
          </wp:anchor>
        </w:drawing>
      </w:r>
    </w:p>
    <w:p>
      <w:pPr>
        <w:spacing w:after="0" w:line="277" w:lineRule="exact"/>
        <w:rPr>
          <w:sz w:val="20"/>
          <w:szCs w:val="20"/>
          <w:color w:val="auto"/>
        </w:rPr>
      </w:pPr>
    </w:p>
    <w:p>
      <w:pPr>
        <w:jc w:val="both"/>
        <w:ind w:left="80" w:right="8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The forward-looking statements in this press release include the growth of the credit portfolio, including the trade portfolio, the increase in the number of the Bank’s corporate clients, the trend of lending spreads, changes in activities engaged in by the Bank that are derived from the Bank’s client base, anticipated operating results and return on equity in future periods, including income derived from the Treasury Business Segment, and changes in the financial and performance strength of the Bank.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We undertake no obligation to publicly update any forward-looking statement, whether as a result of new information, future developments or otherwise, except as may be required by law.</w:t>
      </w:r>
    </w:p>
    <w:p>
      <w:pPr>
        <w:spacing w:after="0" w:line="24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Thursday, October 25, 2018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1"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6"/>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81824564.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22555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17565" cy="22555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10140"/>
        <w:spacing w:after="0"/>
        <w:rPr>
          <w:sz w:val="20"/>
          <w:szCs w:val="20"/>
          <w:color w:val="auto"/>
        </w:rPr>
      </w:pPr>
      <w:r>
        <w:rPr>
          <w:rFonts w:ascii="Arial" w:cs="Arial" w:eastAsia="Arial" w:hAnsi="Arial"/>
          <w:sz w:val="14"/>
          <w:szCs w:val="14"/>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43815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20"/>
      </w:cols>
      <w:pgMar w:left="14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1)"/>
      <w:numFmt w:val="decimal"/>
      <w:start w:val="1"/>
    </w:lvl>
  </w:abstractNum>
  <w:abstractNum w:abstractNumId="5">
    <w:nsid w:val="507ED7AB"/>
    <w:multiLevelType w:val="hybridMultilevel"/>
    <w:lvl w:ilvl="0">
      <w:lvlJc w:val="left"/>
      <w:lvlText w:val="(%1)"/>
      <w:numFmt w:val="decimal"/>
      <w:start w:val="877"/>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2020-01-11T23:24:30Z</dcterms:created>
  <dcterms:modified xsi:type="dcterms:W3CDTF">2020-01-11T23:24:30Z</dcterms:modified>
</cp:coreProperties>
</file>